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C3" w:rsidRPr="00F92AC3" w:rsidRDefault="00F92AC3" w:rsidP="00F92A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ET</w:t>
      </w:r>
      <w:r w:rsidRPr="00F92AC3">
        <w:rPr>
          <w:rFonts w:ascii="Times New Roman" w:eastAsia="Times New Roman" w:hAnsi="Times New Roman" w:cs="Times New Roman"/>
          <w:b/>
          <w:bCs/>
          <w:sz w:val="36"/>
          <w:szCs w:val="36"/>
        </w:rPr>
        <w:t>ECSA</w:t>
      </w:r>
      <w:bookmarkEnd w:id="0"/>
      <w:r w:rsidRPr="00F92A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proofErr w:type="gramStart"/>
      <w:r w:rsidRPr="00F92AC3">
        <w:rPr>
          <w:rFonts w:ascii="Times New Roman" w:eastAsia="Times New Roman" w:hAnsi="Times New Roman" w:cs="Times New Roman"/>
          <w:b/>
          <w:bCs/>
          <w:sz w:val="36"/>
          <w:szCs w:val="36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36"/>
          <w:szCs w:val="36"/>
        </w:rPr>
        <w:t>monopolio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36"/>
          <w:szCs w:val="36"/>
        </w:rPr>
        <w:t>creciente</w:t>
      </w:r>
      <w:proofErr w:type="spell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Emilio Morales, Miami (The Havana Consulting Group).—El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Cuba se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convertido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prósperos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rentables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negocios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controla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Raúl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Castro.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papel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imprescindible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telecomunicaciones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economía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necesidades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capital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transformado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sector en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exitoso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activo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financiero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seis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ello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implementado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plan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inversiones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le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permitido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renovar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plantas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telefónicas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extender la red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territorio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preparar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formar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personal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técnico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de marketing en el exterior.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Actualmente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monopolio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estatal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ETECSA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valorado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$3,000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liberada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contratación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2008,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líneas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arrendadas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alcanza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dos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le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permitido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ETECSA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ingresos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$2,000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solo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modalidad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prepagada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población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Teléfonos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cuentapropismo</w:t>
      </w:r>
      <w:proofErr w:type="spell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Aun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pudieran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explotarse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tecnología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hayan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implementado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observa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influencia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notable en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negocios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sector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privado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teléfonos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son hoy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hoy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herramienta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necesaria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coordinación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toma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decisiones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hasta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promoción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publicitaria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negocios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isla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medio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personas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registrado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ejercer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privado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constituye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segmentos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principales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joven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mercado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evolución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vertiginosa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mercado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demanda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existe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rápido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adaptación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población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tecnología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atrás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visto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tabú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trataba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privilegio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reservado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extranjeros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viajaban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turistas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estaban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radicados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cuestiones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para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solo les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permitidos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altos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funcionarios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Partido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Comunista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la Unión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Jóvenes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Comunistas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directivos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corporaciones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altos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oficiales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Interior (MININT) y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Fuerzas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Armadas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Revolucionarias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(MINFAR).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mercado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giro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180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grados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cobertura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85%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territorio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tarifas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rigen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bajado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costo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mensual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atraer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nuevos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clientes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Sin embargo,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costo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llamada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sigue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(0.35 CUC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),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pesar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población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poderes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adquisitivos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bajos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equivalentes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$20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mensuales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Crecer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crecer</w:t>
      </w:r>
      <w:proofErr w:type="spell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negocio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rentable en Cuba,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escapa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financiamiento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exterior,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mayormente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diáspora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actualidad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el 54.6%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soporte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financiero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negocio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sustentado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viven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extranjero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principalmente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residen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rápida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madurez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mercado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urgencia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captar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divisas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parte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auguran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sostenido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negocio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próximos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reciente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anuncio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liberación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internet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teléfonos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próximo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implementación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nuevas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facilidades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pago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Internet,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indican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mercado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plena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expansión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diversificación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ofrece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ETECSA, lo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adelantar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alza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considerable en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ingresos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monopolio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estatal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Sin embargo,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estrategia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monopólica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sentir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tarifa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arrancada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Internet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un CUC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Megabytes,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precio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nubes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equivalente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los $250,000 CUC del Peugeot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apertura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ventas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autos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nuevos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comienzos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Solo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fijar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idea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disparatado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precio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contrato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familiar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teléfonos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mensaje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ilimitado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Internet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ilimitado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posibilidad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seis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Gigabytes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la red,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obtiene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$165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mensuales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Botín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oro</w:t>
      </w:r>
      <w:proofErr w:type="spell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manejo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control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tarifas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telefónicas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derivado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telecomunicaciones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verdadero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botín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y ETECSA S.A.,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mayor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divisas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aporta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al Estado.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La base de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jugoso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negocio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encuentran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centralizadas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cuatro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factores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fundamentales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AC3" w:rsidRPr="00F92AC3" w:rsidRDefault="00F92AC3" w:rsidP="00F92A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emigración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: entre1990 y 2012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salido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Cuba de forma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definitiva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establecerse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países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principalmente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exponencial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remesas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alcanzaron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cifra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$2,605.12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2012.</w:t>
      </w:r>
    </w:p>
    <w:p w:rsidR="00F92AC3" w:rsidRPr="00F92AC3" w:rsidRDefault="00F92AC3" w:rsidP="00F92A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propia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: 444,109 personas a fines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2013,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diferencia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140,000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cuentapropistas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registrados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2007.</w:t>
      </w:r>
    </w:p>
    <w:p w:rsidR="00F92AC3" w:rsidRPr="00F92AC3" w:rsidRDefault="00F92AC3" w:rsidP="00F92A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turismo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: En el 2013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visitantes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alcanzó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2.83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combinación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factores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impulsado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vertiginosamente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isla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En el 2005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existían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apenas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130,241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líneas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; para el 2013 son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1,912,340.</w:t>
      </w:r>
      <w:proofErr w:type="gram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llamadas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Cuba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incremento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descomunal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isla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impactado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fuertemente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descenso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ingresos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norteamericanas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concepto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cobro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revertido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Según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estadísticas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Oficina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Estadísticas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(ONEI), en el 2008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llamadas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cobro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revertido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sumaron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4.2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cayendo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estrepitosamente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0.7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2012. 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salida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aumentó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10.9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25.9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2008 a 36.8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minutos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2012.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tendencia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decreciente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concepto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cobro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revertido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pastel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compartir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norteamericanas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menor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disminución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representa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incremento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sustancial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ingresos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monopolio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estatal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ETECSA S.A, 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crecer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espiral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llamadas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internacionales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hacen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Cuba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usando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30"/>
        <w:gridCol w:w="765"/>
        <w:gridCol w:w="720"/>
        <w:gridCol w:w="720"/>
        <w:gridCol w:w="720"/>
        <w:gridCol w:w="720"/>
        <w:gridCol w:w="720"/>
        <w:gridCol w:w="1200"/>
      </w:tblGrid>
      <w:tr w:rsidR="00F92AC3" w:rsidRPr="00F92AC3" w:rsidTr="00F92AC3">
        <w:trPr>
          <w:tblCellSpacing w:w="0" w:type="dxa"/>
        </w:trPr>
        <w:tc>
          <w:tcPr>
            <w:tcW w:w="279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Tráfico</w:t>
            </w:r>
            <w:proofErr w:type="spellEnd"/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llamadas</w:t>
            </w:r>
            <w:proofErr w:type="spellEnd"/>
          </w:p>
        </w:tc>
        <w:tc>
          <w:tcPr>
            <w:tcW w:w="93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7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2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2012-2008</w:t>
            </w:r>
          </w:p>
        </w:tc>
      </w:tr>
      <w:tr w:rsidR="00F92AC3" w:rsidRPr="00F92AC3" w:rsidTr="00F92AC3">
        <w:trPr>
          <w:tblCellSpacing w:w="0" w:type="dxa"/>
        </w:trPr>
        <w:tc>
          <w:tcPr>
            <w:tcW w:w="279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tráfico</w:t>
            </w:r>
            <w:proofErr w:type="spellEnd"/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93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7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407.0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418.8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405.3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397.2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395.2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414.6</w:t>
            </w:r>
          </w:p>
        </w:tc>
        <w:tc>
          <w:tcPr>
            <w:tcW w:w="12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-4.2</w:t>
            </w:r>
          </w:p>
        </w:tc>
      </w:tr>
      <w:tr w:rsidR="00F92AC3" w:rsidRPr="00F92AC3" w:rsidTr="00F92AC3">
        <w:trPr>
          <w:tblCellSpacing w:w="0" w:type="dxa"/>
        </w:trPr>
        <w:tc>
          <w:tcPr>
            <w:tcW w:w="279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93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344.1</w:t>
            </w:r>
          </w:p>
        </w:tc>
        <w:tc>
          <w:tcPr>
            <w:tcW w:w="7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388.7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376.2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367.7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362.6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377.1</w:t>
            </w:r>
          </w:p>
        </w:tc>
        <w:tc>
          <w:tcPr>
            <w:tcW w:w="12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-11.6</w:t>
            </w:r>
          </w:p>
        </w:tc>
      </w:tr>
      <w:tr w:rsidR="00F92AC3" w:rsidRPr="00F92AC3" w:rsidTr="00F92AC3">
        <w:trPr>
          <w:tblCellSpacing w:w="0" w:type="dxa"/>
        </w:trPr>
        <w:tc>
          <w:tcPr>
            <w:tcW w:w="279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Salida</w:t>
            </w:r>
            <w:proofErr w:type="spellEnd"/>
          </w:p>
        </w:tc>
        <w:tc>
          <w:tcPr>
            <w:tcW w:w="93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25.9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31.7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36.8</w:t>
            </w:r>
          </w:p>
        </w:tc>
        <w:tc>
          <w:tcPr>
            <w:tcW w:w="12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F92AC3" w:rsidRPr="00F92AC3" w:rsidTr="00F92AC3">
        <w:trPr>
          <w:tblCellSpacing w:w="0" w:type="dxa"/>
        </w:trPr>
        <w:tc>
          <w:tcPr>
            <w:tcW w:w="279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Revertido</w:t>
            </w:r>
            <w:proofErr w:type="spellEnd"/>
          </w:p>
        </w:tc>
        <w:tc>
          <w:tcPr>
            <w:tcW w:w="93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72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</w:t>
            </w:r>
          </w:p>
        </w:tc>
        <w:tc>
          <w:tcPr>
            <w:tcW w:w="12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-3.5</w:t>
            </w:r>
          </w:p>
        </w:tc>
      </w:tr>
    </w:tbl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Fuente:</w:t>
      </w:r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ONE. </w:t>
      </w:r>
      <w:proofErr w:type="gramStart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Los </w:t>
      </w:r>
      <w:proofErr w:type="spellStart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>datos</w:t>
      </w:r>
      <w:proofErr w:type="spellEnd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>tabla</w:t>
      </w:r>
      <w:proofErr w:type="spellEnd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>están</w:t>
      </w:r>
      <w:proofErr w:type="spellEnd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>minutos</w:t>
      </w:r>
      <w:proofErr w:type="spellEnd"/>
      <w:r w:rsidRPr="00F92AC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reciente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realizado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The Havana Consulting Group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determinó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ETECSA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recaudado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$562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concepto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prepagada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2013.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2008, ETECSA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diseñado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agresiva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campaña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publicitaria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promocionar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estimular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Cuba. Las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promociones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descuentos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activación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hasta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rebaja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tarifas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fuertes</w:t>
      </w:r>
      <w:proofErr w:type="spellEnd"/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promociones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ventas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internet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motivar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residentes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exterior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recargar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celulares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isla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muestran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claramente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impacto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campañas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sumamente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efectivo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2008-2013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ingresos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ETECSA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estiman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$2,035,574,012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1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65"/>
        <w:gridCol w:w="1500"/>
      </w:tblGrid>
      <w:tr w:rsidR="00F92AC3" w:rsidRPr="00F92AC3" w:rsidTr="00F92AC3">
        <w:trPr>
          <w:tblCellSpacing w:w="0" w:type="dxa"/>
          <w:jc w:val="center"/>
        </w:trPr>
        <w:tc>
          <w:tcPr>
            <w:tcW w:w="96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Líneas</w:t>
            </w:r>
            <w:proofErr w:type="spellEnd"/>
          </w:p>
        </w:tc>
        <w:tc>
          <w:tcPr>
            <w:tcW w:w="15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Facturación</w:t>
            </w:r>
            <w:proofErr w:type="spellEnd"/>
          </w:p>
        </w:tc>
      </w:tr>
      <w:tr w:rsidR="00F92AC3" w:rsidRPr="00F92AC3" w:rsidTr="00F92AC3">
        <w:trPr>
          <w:tblCellSpacing w:w="0" w:type="dxa"/>
          <w:jc w:val="center"/>
        </w:trPr>
        <w:tc>
          <w:tcPr>
            <w:tcW w:w="96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431,861</w:t>
            </w:r>
          </w:p>
        </w:tc>
        <w:tc>
          <w:tcPr>
            <w:tcW w:w="15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$146,223,512</w:t>
            </w:r>
          </w:p>
        </w:tc>
      </w:tr>
      <w:tr w:rsidR="00F92AC3" w:rsidRPr="00F92AC3" w:rsidTr="00F92AC3">
        <w:trPr>
          <w:tblCellSpacing w:w="0" w:type="dxa"/>
          <w:jc w:val="center"/>
        </w:trPr>
        <w:tc>
          <w:tcPr>
            <w:tcW w:w="96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785,324</w:t>
            </w:r>
          </w:p>
        </w:tc>
        <w:tc>
          <w:tcPr>
            <w:tcW w:w="15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$257,403,045</w:t>
            </w:r>
          </w:p>
        </w:tc>
      </w:tr>
      <w:tr w:rsidR="00F92AC3" w:rsidRPr="00F92AC3" w:rsidTr="00F92AC3">
        <w:trPr>
          <w:tblCellSpacing w:w="0" w:type="dxa"/>
          <w:jc w:val="center"/>
        </w:trPr>
        <w:tc>
          <w:tcPr>
            <w:tcW w:w="96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1,127,985</w:t>
            </w:r>
          </w:p>
        </w:tc>
        <w:tc>
          <w:tcPr>
            <w:tcW w:w="15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$280,473,300</w:t>
            </w:r>
          </w:p>
        </w:tc>
      </w:tr>
      <w:tr w:rsidR="00F92AC3" w:rsidRPr="00F92AC3" w:rsidTr="00F92AC3">
        <w:trPr>
          <w:tblCellSpacing w:w="0" w:type="dxa"/>
          <w:jc w:val="center"/>
        </w:trPr>
        <w:tc>
          <w:tcPr>
            <w:tcW w:w="96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1,431,589</w:t>
            </w:r>
          </w:p>
        </w:tc>
        <w:tc>
          <w:tcPr>
            <w:tcW w:w="15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$340,095,000</w:t>
            </w:r>
          </w:p>
        </w:tc>
      </w:tr>
      <w:tr w:rsidR="00F92AC3" w:rsidRPr="00F92AC3" w:rsidTr="00F92AC3">
        <w:trPr>
          <w:tblCellSpacing w:w="0" w:type="dxa"/>
          <w:jc w:val="center"/>
        </w:trPr>
        <w:tc>
          <w:tcPr>
            <w:tcW w:w="96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6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1,792,345</w:t>
            </w:r>
          </w:p>
        </w:tc>
        <w:tc>
          <w:tcPr>
            <w:tcW w:w="15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sz w:val="24"/>
                <w:szCs w:val="24"/>
              </w:rPr>
              <w:t>$450,100,465</w:t>
            </w:r>
          </w:p>
        </w:tc>
      </w:tr>
      <w:tr w:rsidR="00F92AC3" w:rsidRPr="00F92AC3" w:rsidTr="00F92AC3">
        <w:trPr>
          <w:tblCellSpacing w:w="0" w:type="dxa"/>
          <w:jc w:val="center"/>
        </w:trPr>
        <w:tc>
          <w:tcPr>
            <w:tcW w:w="96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2013E</w:t>
            </w:r>
          </w:p>
        </w:tc>
        <w:tc>
          <w:tcPr>
            <w:tcW w:w="1665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1,912,340</w:t>
            </w:r>
          </w:p>
        </w:tc>
        <w:tc>
          <w:tcPr>
            <w:tcW w:w="15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$561,278,780</w:t>
            </w:r>
          </w:p>
        </w:tc>
      </w:tr>
      <w:tr w:rsidR="00F92AC3" w:rsidRPr="00F92AC3" w:rsidTr="00F92AC3">
        <w:trPr>
          <w:tblCellSpacing w:w="0" w:type="dxa"/>
          <w:jc w:val="center"/>
        </w:trPr>
        <w:tc>
          <w:tcPr>
            <w:tcW w:w="96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65" w:type="dxa"/>
            <w:noWrap/>
            <w:vAlign w:val="bottom"/>
            <w:hideMark/>
          </w:tcPr>
          <w:p w:rsidR="00F92AC3" w:rsidRPr="00F92AC3" w:rsidRDefault="00F92AC3" w:rsidP="00F9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F92AC3" w:rsidRPr="00F92AC3" w:rsidRDefault="00F92AC3" w:rsidP="00F92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$2,035,574,102</w:t>
            </w:r>
          </w:p>
        </w:tc>
      </w:tr>
    </w:tbl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Internet en los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hogares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cubanos</w:t>
      </w:r>
      <w:proofErr w:type="spell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anunció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disponibles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hogares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finales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2014, lo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dudas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provocará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aumento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sustancial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ganancia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ETECSA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resultado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directo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crecimiento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previsto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envíos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remesas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Las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versiones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empleados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Informática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(MIC)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entrada en vigor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domicilio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apuntan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pudiera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comenzar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tan pronto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o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tardar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ello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estableció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canal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pago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sitio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www.ezetop.com,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exterior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abonar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crédito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factura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telefónica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utilizar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tarjetas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crédito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Mastercard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y Visa.</w:t>
      </w:r>
      <w:proofErr w:type="gram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Indiscutiblemente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opción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pago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entró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funcionamiento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costear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cuentas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telefonía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fija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Cuba,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prepara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terreno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enrutamiento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financiará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Internet a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isla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con la ONEI, en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existían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834,000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computadoras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63.8%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reportadas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2007. Del total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poco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500,000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encuentran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conectadas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red,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oficiales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indican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conectividad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mayoría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centros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instituciones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estatales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Las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cifras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la red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corresponden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computadoras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encuentran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instaladas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instituciones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gubernamentales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trabajan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poco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empleados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entrada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computadoras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hogares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se ha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incrementado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mucho con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apertura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viajes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Cuba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llegada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Barack Obama a la Casa Blanca.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¿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Quién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pondrá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dinero</w:t>
      </w:r>
      <w:proofErr w:type="spellEnd"/>
      <w:r w:rsidRPr="00F92AC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sondeo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The Havana Consulting Group con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determinar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valor en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volumen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mercancía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pasajeros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cubanoamericanos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2013,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constató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el 30.41%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llevó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o amigos en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isla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indicaría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solamente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salieron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2013 un total de 151,147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computadoras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Cuba, con un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costo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promedio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$763 USD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forma,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fácil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comprender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dado el alto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volumen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computadoras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diáspora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lleva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Cuba,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residentes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en el exterior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van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costear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gran parte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isla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Conservadoramente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estimar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900,000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hogares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computadora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2AC3" w:rsidRPr="00F92AC3" w:rsidRDefault="00F92AC3" w:rsidP="00F9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lastRenderedPageBreak/>
        <w:t>Suponiendo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ETECSA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cobre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tarifa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30 CUC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horas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navegación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significaría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900,000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hogares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500,000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contaran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Internet, 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monopolio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estatal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obtendría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$15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mensuales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$180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anuales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ETECSA, a no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dudarlo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jugosa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ingresos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F92AC3">
        <w:rPr>
          <w:rFonts w:ascii="Times New Roman" w:eastAsia="Times New Roman" w:hAnsi="Times New Roman" w:cs="Times New Roman"/>
          <w:sz w:val="24"/>
          <w:szCs w:val="24"/>
        </w:rPr>
        <w:t>ese</w:t>
      </w:r>
      <w:proofErr w:type="spellEnd"/>
      <w:proofErr w:type="gram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volumen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el 60%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bolsillo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viven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confirmando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dependencia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directa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economía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cubana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diáspora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C3" w:rsidRPr="00F92AC3" w:rsidRDefault="00F92AC3" w:rsidP="00F92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Ultima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actualización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(Domingo 16 de </w:t>
      </w:r>
      <w:proofErr w:type="spellStart"/>
      <w:r w:rsidRPr="00F92AC3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F92AC3">
        <w:rPr>
          <w:rFonts w:ascii="Times New Roman" w:eastAsia="Times New Roman" w:hAnsi="Times New Roman" w:cs="Times New Roman"/>
          <w:sz w:val="24"/>
          <w:szCs w:val="24"/>
        </w:rPr>
        <w:t xml:space="preserve"> de 2014 18:03)</w:t>
      </w:r>
    </w:p>
    <w:p w:rsidR="0011316F" w:rsidRDefault="0011316F"/>
    <w:sectPr w:rsidR="0011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8C3"/>
    <w:multiLevelType w:val="multilevel"/>
    <w:tmpl w:val="12B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634B4"/>
    <w:multiLevelType w:val="multilevel"/>
    <w:tmpl w:val="325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112E4"/>
    <w:multiLevelType w:val="multilevel"/>
    <w:tmpl w:val="D82C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756B2"/>
    <w:multiLevelType w:val="multilevel"/>
    <w:tmpl w:val="7A4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C3"/>
    <w:rsid w:val="0011316F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2014-04-07T18:03:00Z</dcterms:created>
  <dcterms:modified xsi:type="dcterms:W3CDTF">2014-04-07T18:16:00Z</dcterms:modified>
</cp:coreProperties>
</file>